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EB3" w:rsidRPr="00230EB3" w:rsidRDefault="00230EB3" w:rsidP="00230EB3">
      <w:pPr>
        <w:pStyle w:val="Default"/>
        <w:jc w:val="center"/>
        <w:rPr>
          <w:rFonts w:ascii="Britannic Bold" w:hAnsi="Britannic Bold"/>
          <w:sz w:val="36"/>
          <w:szCs w:val="36"/>
        </w:rPr>
      </w:pPr>
      <w:r w:rsidRPr="00230EB3">
        <w:rPr>
          <w:rFonts w:ascii="Britannic Bold" w:hAnsi="Britannic Bold"/>
          <w:sz w:val="36"/>
          <w:szCs w:val="36"/>
        </w:rPr>
        <w:t>Federal Food Assistance</w:t>
      </w:r>
    </w:p>
    <w:p w:rsidR="007A3865" w:rsidRPr="00230EB3" w:rsidRDefault="00230EB3" w:rsidP="00230EB3">
      <w:pPr>
        <w:rPr>
          <w:rFonts w:cs="Cutie Patootie"/>
          <w:sz w:val="28"/>
          <w:szCs w:val="28"/>
        </w:rPr>
      </w:pPr>
      <w:r w:rsidRPr="00230EB3">
        <w:rPr>
          <w:rFonts w:cs="Cutie Patootie"/>
          <w:sz w:val="28"/>
          <w:szCs w:val="28"/>
        </w:rPr>
        <w:t>The Federal Food Assistance</w:t>
      </w:r>
      <w:r w:rsidRPr="00230EB3">
        <w:rPr>
          <w:rFonts w:cs="Times New Roman"/>
          <w:sz w:val="28"/>
          <w:szCs w:val="28"/>
        </w:rPr>
        <w:t>—</w:t>
      </w:r>
      <w:r w:rsidRPr="00230EB3">
        <w:rPr>
          <w:rFonts w:cs="Cutie Patootie"/>
          <w:sz w:val="28"/>
          <w:szCs w:val="28"/>
        </w:rPr>
        <w:t xml:space="preserve">or </w:t>
      </w:r>
      <w:r w:rsidRPr="00230EB3">
        <w:rPr>
          <w:sz w:val="28"/>
          <w:szCs w:val="28"/>
        </w:rPr>
        <w:t xml:space="preserve">Food Stamp </w:t>
      </w:r>
      <w:r w:rsidRPr="00230EB3">
        <w:rPr>
          <w:rFonts w:cs="Cutie Patootie"/>
          <w:sz w:val="28"/>
          <w:szCs w:val="28"/>
        </w:rPr>
        <w:t>program</w:t>
      </w:r>
      <w:r w:rsidRPr="00230EB3">
        <w:rPr>
          <w:rFonts w:cs="Times New Roman"/>
          <w:sz w:val="28"/>
          <w:szCs w:val="28"/>
        </w:rPr>
        <w:t>—</w:t>
      </w:r>
      <w:r w:rsidRPr="00230EB3">
        <w:rPr>
          <w:rFonts w:cs="Cutie Patootie"/>
          <w:sz w:val="28"/>
          <w:szCs w:val="28"/>
        </w:rPr>
        <w:t xml:space="preserve">began in 1939 during the Great Depression. It was started to help the poorest Americans to get enough to eat at a time when many American farmers were producing a surplus of food. The program ended in 1943, when the economy recovered from the Depression. The program resumed in 1961 under President Jon F. Kennedy, after studies during the 1950s demonstrated that millions of Americans were living in poverty and were not eating nutritionally balanced diets. As part of his “War on Poverty,” President Lyndon Johnson requested that Congress make the Food Assistance Program permanent, which it did by passing the </w:t>
      </w:r>
      <w:r w:rsidRPr="00230EB3">
        <w:rPr>
          <w:sz w:val="28"/>
          <w:szCs w:val="28"/>
        </w:rPr>
        <w:t>Food Stamp Act of 1964</w:t>
      </w:r>
      <w:r w:rsidRPr="00230EB3">
        <w:rPr>
          <w:rFonts w:cs="Cutie Patootie"/>
          <w:sz w:val="28"/>
          <w:szCs w:val="28"/>
        </w:rPr>
        <w:t xml:space="preserve">. Since that time the goal of the program has been to help disadvantaged Americans of all ages obtain at least minimum diet of nutritionally balanced foods, whether or not they can afford it. The federal government provides food coupons to poor individuals or families who </w:t>
      </w:r>
      <w:proofErr w:type="spellStart"/>
      <w:r w:rsidRPr="00230EB3">
        <w:rPr>
          <w:rFonts w:cs="Cutie Patootie"/>
          <w:sz w:val="28"/>
          <w:szCs w:val="28"/>
        </w:rPr>
        <w:t>can not</w:t>
      </w:r>
      <w:proofErr w:type="spellEnd"/>
      <w:r w:rsidRPr="00230EB3">
        <w:rPr>
          <w:rFonts w:cs="Cutie Patootie"/>
          <w:sz w:val="28"/>
          <w:szCs w:val="28"/>
        </w:rPr>
        <w:t xml:space="preserve"> buy an adequate amount of food. In its first year as a permanent program, the Federal Food Assistance program reached more than 500,000 needy Americans and by the mid 1970s, that number had grown to 15 million nationwide. By the late 1990s, Federal Food Assistance was helping to feed more than 20 million disadvantaged Americans each year.</w:t>
      </w:r>
    </w:p>
    <w:p w:rsidR="00230EB3" w:rsidRDefault="00230EB3" w:rsidP="00230EB3">
      <w:pPr>
        <w:rPr>
          <w:rFonts w:ascii="Cutie Patootie" w:hAnsi="Cutie Patootie" w:cs="Cutie Patootie"/>
          <w:sz w:val="28"/>
          <w:szCs w:val="28"/>
        </w:rPr>
      </w:pPr>
    </w:p>
    <w:p w:rsidR="00230EB3" w:rsidRDefault="00230EB3" w:rsidP="00230EB3">
      <w:r>
        <w:rPr>
          <w:noProof/>
        </w:rPr>
        <w:drawing>
          <wp:anchor distT="0" distB="0" distL="114300" distR="114300" simplePos="0" relativeHeight="251660288" behindDoc="0" locked="0" layoutInCell="1" allowOverlap="1">
            <wp:simplePos x="0" y="0"/>
            <wp:positionH relativeFrom="column">
              <wp:posOffset>181745</wp:posOffset>
            </wp:positionH>
            <wp:positionV relativeFrom="paragraph">
              <wp:posOffset>274665</wp:posOffset>
            </wp:positionV>
            <wp:extent cx="2826868" cy="1857811"/>
            <wp:effectExtent l="190500" t="285750" r="163982" b="256739"/>
            <wp:wrapNone/>
            <wp:docPr id="15" name="Picture 15" descr="http://www.theblaze.com/wp-content/uploads/2011/12/food-stamp-restau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blaze.com/wp-content/uploads/2011/12/food-stamp-restaurants.jpg"/>
                    <pic:cNvPicPr>
                      <a:picLocks noChangeAspect="1" noChangeArrowheads="1"/>
                    </pic:cNvPicPr>
                  </pic:nvPicPr>
                  <pic:blipFill>
                    <a:blip r:embed="rId4" cstate="print"/>
                    <a:srcRect/>
                    <a:stretch>
                      <a:fillRect/>
                    </a:stretch>
                  </pic:blipFill>
                  <pic:spPr bwMode="auto">
                    <a:xfrm rot="20865802">
                      <a:off x="0" y="0"/>
                      <a:ext cx="2826868" cy="1857811"/>
                    </a:xfrm>
                    <a:prstGeom prst="rect">
                      <a:avLst/>
                    </a:prstGeom>
                    <a:noFill/>
                    <a:ln w="9525">
                      <a:noFill/>
                      <a:miter lim="800000"/>
                      <a:headEnd/>
                      <a:tailEnd/>
                    </a:ln>
                  </pic:spPr>
                </pic:pic>
              </a:graphicData>
            </a:graphic>
          </wp:anchor>
        </w:drawing>
      </w:r>
    </w:p>
    <w:p w:rsidR="00230EB3" w:rsidRDefault="00230EB3" w:rsidP="00230EB3"/>
    <w:p w:rsidR="00230EB3" w:rsidRDefault="00230EB3" w:rsidP="00230EB3">
      <w:r>
        <w:rPr>
          <w:noProof/>
        </w:rPr>
        <w:drawing>
          <wp:anchor distT="0" distB="0" distL="114300" distR="114300" simplePos="0" relativeHeight="251659264" behindDoc="0" locked="0" layoutInCell="1" allowOverlap="1">
            <wp:simplePos x="0" y="0"/>
            <wp:positionH relativeFrom="column">
              <wp:posOffset>2168572</wp:posOffset>
            </wp:positionH>
            <wp:positionV relativeFrom="paragraph">
              <wp:posOffset>73916</wp:posOffset>
            </wp:positionV>
            <wp:extent cx="4552950" cy="3589361"/>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552950" cy="3589361"/>
                    </a:xfrm>
                    <a:prstGeom prst="rect">
                      <a:avLst/>
                    </a:prstGeom>
                    <a:noFill/>
                    <a:ln w="9525">
                      <a:noFill/>
                      <a:miter lim="800000"/>
                      <a:headEnd/>
                      <a:tailEnd/>
                    </a:ln>
                  </pic:spPr>
                </pic:pic>
              </a:graphicData>
            </a:graphic>
          </wp:anchor>
        </w:drawing>
      </w:r>
    </w:p>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Pr="00230EB3" w:rsidRDefault="00230EB3" w:rsidP="00F03406">
      <w:pPr>
        <w:pStyle w:val="Default"/>
        <w:jc w:val="center"/>
        <w:rPr>
          <w:rFonts w:ascii="Britannic Bold" w:hAnsi="Britannic Bold"/>
          <w:sz w:val="36"/>
          <w:szCs w:val="36"/>
        </w:rPr>
      </w:pPr>
      <w:r w:rsidRPr="00230EB3">
        <w:rPr>
          <w:rFonts w:ascii="Britannic Bold" w:hAnsi="Britannic Bold"/>
          <w:sz w:val="36"/>
          <w:szCs w:val="36"/>
        </w:rPr>
        <w:lastRenderedPageBreak/>
        <w:t>The Job Corps</w:t>
      </w:r>
    </w:p>
    <w:p w:rsidR="00230EB3" w:rsidRPr="00230EB3" w:rsidRDefault="00230EB3" w:rsidP="00230EB3">
      <w:pPr>
        <w:rPr>
          <w:rFonts w:cs="Cutie Patootie"/>
          <w:sz w:val="28"/>
          <w:szCs w:val="28"/>
        </w:rPr>
      </w:pPr>
      <w:r>
        <w:rPr>
          <w:rFonts w:cs="Cutie Patootie"/>
          <w:noProof/>
          <w:sz w:val="28"/>
          <w:szCs w:val="28"/>
        </w:rPr>
        <w:drawing>
          <wp:anchor distT="0" distB="0" distL="114300" distR="114300" simplePos="0" relativeHeight="251662336" behindDoc="0" locked="0" layoutInCell="1" allowOverlap="1">
            <wp:simplePos x="0" y="0"/>
            <wp:positionH relativeFrom="column">
              <wp:posOffset>2732422</wp:posOffset>
            </wp:positionH>
            <wp:positionV relativeFrom="paragraph">
              <wp:posOffset>3479297</wp:posOffset>
            </wp:positionV>
            <wp:extent cx="4070973" cy="5172501"/>
            <wp:effectExtent l="19050" t="0" r="5727"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070770" cy="5172244"/>
                    </a:xfrm>
                    <a:prstGeom prst="rect">
                      <a:avLst/>
                    </a:prstGeom>
                    <a:noFill/>
                    <a:ln w="9525">
                      <a:noFill/>
                      <a:miter lim="800000"/>
                      <a:headEnd/>
                      <a:tailEnd/>
                    </a:ln>
                  </pic:spPr>
                </pic:pic>
              </a:graphicData>
            </a:graphic>
          </wp:anchor>
        </w:drawing>
      </w:r>
      <w:r w:rsidRPr="00230EB3">
        <w:rPr>
          <w:rFonts w:cs="Cutie Patootie"/>
          <w:sz w:val="28"/>
          <w:szCs w:val="28"/>
        </w:rPr>
        <w:t xml:space="preserve">The Job Corps was a </w:t>
      </w:r>
      <w:r w:rsidRPr="00230EB3">
        <w:rPr>
          <w:sz w:val="28"/>
          <w:szCs w:val="28"/>
        </w:rPr>
        <w:t xml:space="preserve">national job training program </w:t>
      </w:r>
      <w:r w:rsidRPr="00230EB3">
        <w:rPr>
          <w:rFonts w:cs="Cutie Patootie"/>
          <w:sz w:val="28"/>
          <w:szCs w:val="28"/>
        </w:rPr>
        <w:t xml:space="preserve">administered by the Office of Economic Opportunity (OEO). The goal of the program was to train disadvantaged </w:t>
      </w:r>
      <w:proofErr w:type="gramStart"/>
      <w:r w:rsidRPr="00230EB3">
        <w:rPr>
          <w:rFonts w:cs="Cutie Patootie"/>
          <w:sz w:val="28"/>
          <w:szCs w:val="28"/>
        </w:rPr>
        <w:t>youths</w:t>
      </w:r>
      <w:proofErr w:type="gramEnd"/>
      <w:r w:rsidRPr="00230EB3">
        <w:rPr>
          <w:rFonts w:cs="Cutie Patootie"/>
          <w:sz w:val="28"/>
          <w:szCs w:val="28"/>
        </w:rPr>
        <w:t xml:space="preserve"> aged 16 to 24 in technical, social, and educational skills so they could find work in a variety of fields. The Job Corps established both rural and urban centers throughout the country. Enrollees underwent six to nine months of technical training, learned social skills, and if necessary, learned basic educational skills such as reading and writing. They also received room and board, clothing for work, books, supplies, and a cash allowance. Trainees in rural centers learned to repair roads, build firebreaks, and help manage conservation and natural-resource efforts. Urban centers</w:t>
      </w:r>
      <w:r w:rsidRPr="00230EB3">
        <w:rPr>
          <w:rFonts w:cs="Times New Roman"/>
          <w:sz w:val="28"/>
          <w:szCs w:val="28"/>
        </w:rPr>
        <w:t>—</w:t>
      </w:r>
      <w:r w:rsidRPr="00230EB3">
        <w:rPr>
          <w:rFonts w:cs="Cutie Patootie"/>
          <w:sz w:val="28"/>
          <w:szCs w:val="28"/>
        </w:rPr>
        <w:t>for those youths with a basic sixth grade education</w:t>
      </w:r>
      <w:r w:rsidRPr="00230EB3">
        <w:rPr>
          <w:rFonts w:cs="Times New Roman"/>
          <w:sz w:val="28"/>
          <w:szCs w:val="28"/>
        </w:rPr>
        <w:t>—</w:t>
      </w:r>
      <w:r w:rsidRPr="00230EB3">
        <w:rPr>
          <w:rFonts w:cs="Cutie Patootie"/>
          <w:sz w:val="28"/>
          <w:szCs w:val="28"/>
        </w:rPr>
        <w:t>taught skilled crafts such as carpentry, plumbing, welding, and electrical wiring. They could stay in a Job Corps center as long as two years, and at the end of which time they were given assistance in finding a job. In 1967</w:t>
      </w:r>
      <w:r w:rsidRPr="00230EB3">
        <w:rPr>
          <w:rFonts w:cs="Times New Roman"/>
          <w:sz w:val="28"/>
          <w:szCs w:val="28"/>
        </w:rPr>
        <w:t>—</w:t>
      </w:r>
      <w:r w:rsidRPr="00230EB3">
        <w:rPr>
          <w:rFonts w:cs="Cutie Patootie"/>
          <w:sz w:val="28"/>
          <w:szCs w:val="28"/>
        </w:rPr>
        <w:t>the peak year of the program during the 1960s</w:t>
      </w:r>
      <w:r w:rsidRPr="00230EB3">
        <w:rPr>
          <w:rFonts w:cs="Times New Roman"/>
          <w:sz w:val="28"/>
          <w:szCs w:val="28"/>
        </w:rPr>
        <w:t>—</w:t>
      </w:r>
      <w:r w:rsidRPr="00230EB3">
        <w:rPr>
          <w:rFonts w:cs="Cutie Patootie"/>
          <w:sz w:val="28"/>
          <w:szCs w:val="28"/>
        </w:rPr>
        <w:t>the Job Corps operated 123 centers with 42,000 enrollees. Since then, more than 1.8 economically disadvantaged youths have gone through the program.</w:t>
      </w:r>
    </w:p>
    <w:p w:rsidR="00230EB3" w:rsidRDefault="00230EB3" w:rsidP="00230EB3"/>
    <w:p w:rsidR="00230EB3" w:rsidRDefault="00230EB3" w:rsidP="00230EB3"/>
    <w:p w:rsidR="00230EB3" w:rsidRDefault="00230EB3" w:rsidP="00230EB3"/>
    <w:p w:rsidR="00230EB3" w:rsidRDefault="00230EB3" w:rsidP="00230EB3"/>
    <w:p w:rsidR="00230EB3" w:rsidRDefault="00230EB3" w:rsidP="00230EB3">
      <w:r>
        <w:rPr>
          <w:noProof/>
        </w:rPr>
        <w:drawing>
          <wp:anchor distT="0" distB="0" distL="114300" distR="114300" simplePos="0" relativeHeight="251661312" behindDoc="0" locked="0" layoutInCell="1" allowOverlap="1">
            <wp:simplePos x="0" y="0"/>
            <wp:positionH relativeFrom="column">
              <wp:posOffset>325755</wp:posOffset>
            </wp:positionH>
            <wp:positionV relativeFrom="paragraph">
              <wp:posOffset>39370</wp:posOffset>
            </wp:positionV>
            <wp:extent cx="2082165" cy="238823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082165" cy="2388235"/>
                    </a:xfrm>
                    <a:prstGeom prst="rect">
                      <a:avLst/>
                    </a:prstGeom>
                    <a:noFill/>
                    <a:ln w="9525">
                      <a:noFill/>
                      <a:miter lim="800000"/>
                      <a:headEnd/>
                      <a:tailEnd/>
                    </a:ln>
                  </pic:spPr>
                </pic:pic>
              </a:graphicData>
            </a:graphic>
          </wp:anchor>
        </w:drawing>
      </w:r>
    </w:p>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Pr="00F03406" w:rsidRDefault="00230EB3" w:rsidP="00F03406">
      <w:pPr>
        <w:pStyle w:val="Default"/>
        <w:jc w:val="center"/>
        <w:rPr>
          <w:rFonts w:ascii="Britannic Bold" w:hAnsi="Britannic Bold"/>
          <w:sz w:val="36"/>
          <w:szCs w:val="40"/>
        </w:rPr>
      </w:pPr>
      <w:r w:rsidRPr="00F03406">
        <w:rPr>
          <w:rFonts w:ascii="Britannic Bold" w:hAnsi="Britannic Bold"/>
          <w:sz w:val="36"/>
          <w:szCs w:val="40"/>
        </w:rPr>
        <w:t>Head Start</w:t>
      </w:r>
    </w:p>
    <w:p w:rsidR="00230EB3" w:rsidRPr="00230EB3" w:rsidRDefault="00230EB3" w:rsidP="00230EB3">
      <w:pPr>
        <w:rPr>
          <w:rFonts w:cs="Cutie Patootie"/>
          <w:sz w:val="28"/>
          <w:szCs w:val="28"/>
        </w:rPr>
      </w:pPr>
      <w:r w:rsidRPr="00230EB3">
        <w:rPr>
          <w:rFonts w:cs="Cutie Patootie"/>
          <w:sz w:val="28"/>
          <w:szCs w:val="28"/>
        </w:rPr>
        <w:t xml:space="preserve">Head Start was an </w:t>
      </w:r>
      <w:r w:rsidRPr="00230EB3">
        <w:rPr>
          <w:sz w:val="28"/>
          <w:szCs w:val="28"/>
        </w:rPr>
        <w:t xml:space="preserve">educational program for disadvantaged children </w:t>
      </w:r>
      <w:r w:rsidRPr="00230EB3">
        <w:rPr>
          <w:rFonts w:cs="Cutie Patootie"/>
          <w:sz w:val="28"/>
          <w:szCs w:val="28"/>
        </w:rPr>
        <w:t xml:space="preserve">administered by the Office of Economic Opportunity (OEO). The main goal of Head Start was to improve the overall school performance of poor children by entering them in a two-month </w:t>
      </w:r>
      <w:r w:rsidRPr="00230EB3">
        <w:rPr>
          <w:sz w:val="28"/>
          <w:szCs w:val="28"/>
        </w:rPr>
        <w:t xml:space="preserve">prekindergarten </w:t>
      </w:r>
      <w:r w:rsidRPr="00230EB3">
        <w:rPr>
          <w:rFonts w:cs="Cutie Patootie"/>
          <w:sz w:val="28"/>
          <w:szCs w:val="28"/>
        </w:rPr>
        <w:t>(</w:t>
      </w:r>
      <w:r w:rsidRPr="00230EB3">
        <w:rPr>
          <w:sz w:val="28"/>
          <w:szCs w:val="28"/>
        </w:rPr>
        <w:t>pre-K</w:t>
      </w:r>
      <w:r w:rsidRPr="00230EB3">
        <w:rPr>
          <w:rFonts w:cs="Cutie Patootie"/>
          <w:sz w:val="28"/>
          <w:szCs w:val="28"/>
        </w:rPr>
        <w:t>) program. During this time, the preschoolers were introduced to a variety of experiences designed to increase their intellectual awareness. They were taken to fire stations, zoos, and farms; were introduced to forms of art, music, dance, and theater; and introduced to a variety of toys, games, and puzzles. In addition, the program provided hot meals and immunizations against many childhood diseases to support children’s health. Funded by the federal government, Head Start was run by local school districts and civic groups in cities and towns throughout the country. The first Head Start project began in 1965, with more than 500,000 four- and five-year-old preschool children throughout the country. The cost of the program was $82 million. It was such a success that President Johnson soon announced that Head Start would become a full one-year permanent program to benefit about 350,000 poor children per year, ages three and up. Since Head Start’s inception in 1965, more than 17 million preschool children have benefitted from the program.</w:t>
      </w:r>
    </w:p>
    <w:p w:rsidR="00230EB3" w:rsidRDefault="00230EB3" w:rsidP="00230EB3">
      <w:pPr>
        <w:rPr>
          <w:rFonts w:ascii="Cutie Patootie" w:hAnsi="Cutie Patootie" w:cs="Cutie Patootie"/>
          <w:sz w:val="28"/>
          <w:szCs w:val="28"/>
        </w:rPr>
      </w:pPr>
      <w:r>
        <w:rPr>
          <w:rFonts w:ascii="Cutie Patootie" w:hAnsi="Cutie Patootie" w:cs="Cutie Patootie"/>
          <w:noProof/>
          <w:sz w:val="28"/>
          <w:szCs w:val="28"/>
        </w:rPr>
        <w:drawing>
          <wp:anchor distT="0" distB="0" distL="114300" distR="114300" simplePos="0" relativeHeight="251664384" behindDoc="0" locked="0" layoutInCell="1" allowOverlap="1">
            <wp:simplePos x="0" y="0"/>
            <wp:positionH relativeFrom="column">
              <wp:posOffset>25873</wp:posOffset>
            </wp:positionH>
            <wp:positionV relativeFrom="paragraph">
              <wp:posOffset>-5839</wp:posOffset>
            </wp:positionV>
            <wp:extent cx="4484679" cy="2988859"/>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484150" cy="2988506"/>
                    </a:xfrm>
                    <a:prstGeom prst="rect">
                      <a:avLst/>
                    </a:prstGeom>
                    <a:noFill/>
                    <a:ln w="9525">
                      <a:noFill/>
                      <a:miter lim="800000"/>
                      <a:headEnd/>
                      <a:tailEnd/>
                    </a:ln>
                  </pic:spPr>
                </pic:pic>
              </a:graphicData>
            </a:graphic>
          </wp:anchor>
        </w:drawing>
      </w:r>
    </w:p>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r>
        <w:rPr>
          <w:noProof/>
        </w:rPr>
        <w:drawing>
          <wp:anchor distT="0" distB="0" distL="114300" distR="114300" simplePos="0" relativeHeight="251665408" behindDoc="0" locked="0" layoutInCell="1" allowOverlap="1">
            <wp:simplePos x="0" y="0"/>
            <wp:positionH relativeFrom="column">
              <wp:posOffset>3642531</wp:posOffset>
            </wp:positionH>
            <wp:positionV relativeFrom="paragraph">
              <wp:posOffset>54619</wp:posOffset>
            </wp:positionV>
            <wp:extent cx="3106287" cy="2047164"/>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106287" cy="2047164"/>
                    </a:xfrm>
                    <a:prstGeom prst="rect">
                      <a:avLst/>
                    </a:prstGeom>
                    <a:noFill/>
                    <a:ln w="9525">
                      <a:noFill/>
                      <a:miter lim="800000"/>
                      <a:headEnd/>
                      <a:tailEnd/>
                    </a:ln>
                  </pic:spPr>
                </pic:pic>
              </a:graphicData>
            </a:graphic>
          </wp:anchor>
        </w:drawing>
      </w:r>
    </w:p>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Pr="00F03406" w:rsidRDefault="00230EB3" w:rsidP="00F03406">
      <w:pPr>
        <w:pStyle w:val="Default"/>
        <w:jc w:val="center"/>
        <w:rPr>
          <w:rFonts w:ascii="Britannic Bold" w:hAnsi="Britannic Bold"/>
          <w:sz w:val="36"/>
          <w:szCs w:val="36"/>
        </w:rPr>
      </w:pPr>
      <w:r w:rsidRPr="00F03406">
        <w:rPr>
          <w:rFonts w:ascii="Britannic Bold" w:hAnsi="Britannic Bold"/>
          <w:sz w:val="36"/>
          <w:szCs w:val="36"/>
        </w:rPr>
        <w:t>Civil Rights Act of 1964 / Voting Rights Act of 1965</w:t>
      </w:r>
    </w:p>
    <w:p w:rsidR="00F03406" w:rsidRDefault="00230EB3" w:rsidP="00230EB3">
      <w:pPr>
        <w:pStyle w:val="Default"/>
        <w:rPr>
          <w:rFonts w:asciiTheme="minorHAnsi" w:hAnsiTheme="minorHAnsi" w:cs="Cutie Patootie"/>
          <w:sz w:val="28"/>
          <w:szCs w:val="28"/>
        </w:rPr>
      </w:pPr>
      <w:r w:rsidRPr="00F03406">
        <w:rPr>
          <w:rFonts w:asciiTheme="minorHAnsi" w:hAnsiTheme="minorHAnsi" w:cs="Cutie Patootie"/>
          <w:sz w:val="28"/>
          <w:szCs w:val="28"/>
        </w:rPr>
        <w:t xml:space="preserve">The Civil Rights Act of 1964 and Voting Rights Act of 1965 were major civil rights acts passed during the Johnson administration. In 1964, Congress passed one of its strongest civil rights laws in history, the </w:t>
      </w:r>
      <w:r w:rsidRPr="00F03406">
        <w:rPr>
          <w:rFonts w:asciiTheme="minorHAnsi" w:hAnsiTheme="minorHAnsi"/>
          <w:sz w:val="28"/>
          <w:szCs w:val="28"/>
        </w:rPr>
        <w:t>Civil Rights Act</w:t>
      </w:r>
      <w:r w:rsidRPr="00F03406">
        <w:rPr>
          <w:rFonts w:asciiTheme="minorHAnsi" w:hAnsiTheme="minorHAnsi" w:cs="Cutie Patootie"/>
          <w:sz w:val="28"/>
          <w:szCs w:val="28"/>
        </w:rPr>
        <w:t>. The act bans discrimination because of a person's color, race, national origin, religion, or sex; it primarily protects the rights of African Americans and other minorities. The Civil Rights Act attacked Jim Crow laws by ending segregation in hotels, restaurants, theaters, parks, and all other public places. The law created penalties for programs practicing discrimination, prohibited job discrimination, and created the Equal Employment Opportunities Commission to monitor and review acts of discrimination.</w:t>
      </w:r>
    </w:p>
    <w:p w:rsidR="00230EB3" w:rsidRPr="00F03406" w:rsidRDefault="00230EB3" w:rsidP="00230EB3">
      <w:pPr>
        <w:pStyle w:val="Default"/>
        <w:rPr>
          <w:rFonts w:asciiTheme="minorHAnsi" w:hAnsiTheme="minorHAnsi" w:cs="Cutie Patootie"/>
          <w:sz w:val="28"/>
          <w:szCs w:val="28"/>
        </w:rPr>
      </w:pPr>
      <w:r w:rsidRPr="00F03406">
        <w:rPr>
          <w:rFonts w:asciiTheme="minorHAnsi" w:hAnsiTheme="minorHAnsi" w:cs="Cutie Patootie"/>
          <w:sz w:val="28"/>
          <w:szCs w:val="28"/>
        </w:rPr>
        <w:t xml:space="preserve"> </w:t>
      </w:r>
    </w:p>
    <w:p w:rsidR="00230EB3" w:rsidRPr="00F03406" w:rsidRDefault="00230EB3" w:rsidP="00230EB3">
      <w:pPr>
        <w:rPr>
          <w:rFonts w:cs="Cutie Patootie"/>
          <w:sz w:val="28"/>
          <w:szCs w:val="28"/>
        </w:rPr>
      </w:pPr>
      <w:r w:rsidRPr="00F03406">
        <w:rPr>
          <w:rFonts w:cs="Cutie Patootie"/>
          <w:sz w:val="28"/>
          <w:szCs w:val="28"/>
        </w:rPr>
        <w:t xml:space="preserve">The </w:t>
      </w:r>
      <w:r w:rsidRPr="00F03406">
        <w:rPr>
          <w:sz w:val="28"/>
          <w:szCs w:val="28"/>
        </w:rPr>
        <w:t xml:space="preserve">Voting Rights Act of 1965 </w:t>
      </w:r>
      <w:r w:rsidRPr="00F03406">
        <w:rPr>
          <w:rFonts w:cs="Cutie Patootie"/>
          <w:sz w:val="28"/>
          <w:szCs w:val="28"/>
        </w:rPr>
        <w:t>guaranteed the voting rights of African Americans. Though the Constitution's 15th Amendment (passed 1870) had guaranteed the right to vote regardless of "race, color, or previous condition of servitude," African Americans in the South faced poll taxes and literacy tests, as late as the 1960s. When the civil rights movement focused national attention on infringements of their voting rights; Congress responded with the Voting Rights Act, which prohibited Southern states from using literacy tests to determine eligibility to vote. Later laws made poll taxes illegal in state and local elections.</w:t>
      </w:r>
    </w:p>
    <w:p w:rsidR="00230EB3" w:rsidRPr="00F03406" w:rsidRDefault="00230EB3" w:rsidP="00F03406">
      <w:pPr>
        <w:pStyle w:val="Default"/>
        <w:jc w:val="center"/>
        <w:rPr>
          <w:rFonts w:ascii="Britannic Bold" w:hAnsi="Britannic Bold"/>
          <w:sz w:val="36"/>
          <w:szCs w:val="36"/>
        </w:rPr>
      </w:pPr>
      <w:r w:rsidRPr="00F03406">
        <w:rPr>
          <w:rFonts w:ascii="Britannic Bold" w:hAnsi="Britannic Bold"/>
          <w:sz w:val="36"/>
          <w:szCs w:val="36"/>
        </w:rPr>
        <w:t>1965 Executive Order on Affirmative Action</w:t>
      </w:r>
    </w:p>
    <w:p w:rsidR="00230EB3" w:rsidRPr="00F03406" w:rsidRDefault="00F03406" w:rsidP="00230EB3">
      <w:pPr>
        <w:rPr>
          <w:rFonts w:cs="Cutie Patootie"/>
          <w:sz w:val="28"/>
          <w:szCs w:val="28"/>
        </w:rPr>
      </w:pPr>
      <w:r>
        <w:rPr>
          <w:rFonts w:cs="Cutie Patootie"/>
          <w:noProof/>
          <w:sz w:val="28"/>
          <w:szCs w:val="28"/>
        </w:rPr>
        <w:drawing>
          <wp:anchor distT="0" distB="0" distL="114300" distR="114300" simplePos="0" relativeHeight="251666432" behindDoc="0" locked="0" layoutInCell="1" allowOverlap="1">
            <wp:simplePos x="0" y="0"/>
            <wp:positionH relativeFrom="column">
              <wp:posOffset>1868322</wp:posOffset>
            </wp:positionH>
            <wp:positionV relativeFrom="paragraph">
              <wp:posOffset>2282797</wp:posOffset>
            </wp:positionV>
            <wp:extent cx="4265712" cy="2320119"/>
            <wp:effectExtent l="19050" t="0" r="148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265712" cy="2320119"/>
                    </a:xfrm>
                    <a:prstGeom prst="rect">
                      <a:avLst/>
                    </a:prstGeom>
                    <a:noFill/>
                    <a:ln w="9525">
                      <a:noFill/>
                      <a:miter lim="800000"/>
                      <a:headEnd/>
                      <a:tailEnd/>
                    </a:ln>
                  </pic:spPr>
                </pic:pic>
              </a:graphicData>
            </a:graphic>
          </wp:anchor>
        </w:drawing>
      </w:r>
      <w:r w:rsidR="00230EB3" w:rsidRPr="00F03406">
        <w:rPr>
          <w:rFonts w:cs="Cutie Patootie"/>
          <w:sz w:val="28"/>
          <w:szCs w:val="28"/>
        </w:rPr>
        <w:t xml:space="preserve">To ensure compliance with the Civil Rights Act of 1964, President Johnson issued Executive Order 11246 in 1965 which enforced </w:t>
      </w:r>
      <w:r w:rsidR="00230EB3" w:rsidRPr="00F03406">
        <w:rPr>
          <w:sz w:val="28"/>
          <w:szCs w:val="28"/>
        </w:rPr>
        <w:t>affirmative action</w:t>
      </w:r>
      <w:r w:rsidR="00230EB3" w:rsidRPr="00F03406">
        <w:rPr>
          <w:rFonts w:cs="Cutie Patootie"/>
          <w:sz w:val="28"/>
          <w:szCs w:val="28"/>
        </w:rPr>
        <w:t>. Affirmative action is a government policy that seeks to remedy (cure) long-standing discrimination directed at specific groups, including women and African Americans. The basic purpose of affirmative action is to increase access to opportunities in higher education, employment, government contracts, housing, and other areas for minorities. Affirmative action policies attempt to ensure that jobs, university admissions, and government contracts are not awarded exclusively to white men. Many affirmative action policies leave aside some jobs or university admission slots to minority candidates to ensure “more equal" access in order to address years of inequalities towards minorities in the U.S.</w:t>
      </w:r>
    </w:p>
    <w:p w:rsidR="00230EB3" w:rsidRDefault="00230EB3" w:rsidP="00230EB3">
      <w:pPr>
        <w:rPr>
          <w:rFonts w:ascii="Cutie Patootie" w:hAnsi="Cutie Patootie" w:cs="Cutie Patootie"/>
          <w:sz w:val="32"/>
          <w:szCs w:val="32"/>
        </w:rPr>
      </w:pPr>
    </w:p>
    <w:p w:rsidR="00230EB3" w:rsidRDefault="00230EB3" w:rsidP="00230EB3"/>
    <w:p w:rsidR="00230EB3" w:rsidRDefault="00230EB3" w:rsidP="00230EB3"/>
    <w:p w:rsidR="00F03406" w:rsidRDefault="00F03406" w:rsidP="00230EB3"/>
    <w:p w:rsidR="00F03406" w:rsidRDefault="00F03406" w:rsidP="00230EB3"/>
    <w:p w:rsidR="00F03406" w:rsidRDefault="00F03406" w:rsidP="00230EB3"/>
    <w:p w:rsidR="00230EB3" w:rsidRPr="00F03406" w:rsidRDefault="00230EB3" w:rsidP="00F03406">
      <w:pPr>
        <w:pStyle w:val="Default"/>
        <w:jc w:val="center"/>
        <w:rPr>
          <w:rFonts w:ascii="Britannic Bold" w:hAnsi="Britannic Bold"/>
          <w:sz w:val="36"/>
          <w:szCs w:val="36"/>
        </w:rPr>
      </w:pPr>
      <w:r w:rsidRPr="00F03406">
        <w:rPr>
          <w:rFonts w:ascii="Britannic Bold" w:hAnsi="Britannic Bold"/>
          <w:sz w:val="36"/>
          <w:szCs w:val="36"/>
        </w:rPr>
        <w:lastRenderedPageBreak/>
        <w:t>Department of Housing and Urban Development (HUD)</w:t>
      </w:r>
    </w:p>
    <w:p w:rsidR="00230EB3" w:rsidRDefault="00230EB3" w:rsidP="00230EB3">
      <w:pPr>
        <w:rPr>
          <w:rFonts w:cs="Cutie Patootie"/>
          <w:sz w:val="28"/>
          <w:szCs w:val="28"/>
        </w:rPr>
      </w:pPr>
      <w:r w:rsidRPr="00F03406">
        <w:rPr>
          <w:rFonts w:cs="Cutie Patootie"/>
          <w:sz w:val="28"/>
          <w:szCs w:val="28"/>
        </w:rPr>
        <w:t xml:space="preserve">The Department of Housing and Urban Development (HUD) was created by Congress in 1965. By that time, more than 70% of the nation's population lived in urban and suburban areas. The department was initially given the responsibility of dealing with housing shortages. In 1968, Fair Housing Act outlawed housing discrimination and gave HUD the responsibility of enforcing the legislation. Congress also created the Government National Mortgage Association, known as </w:t>
      </w:r>
      <w:proofErr w:type="spellStart"/>
      <w:r w:rsidRPr="00F03406">
        <w:rPr>
          <w:rFonts w:cs="Cutie Patootie"/>
          <w:sz w:val="28"/>
          <w:szCs w:val="28"/>
        </w:rPr>
        <w:t>Ginnie</w:t>
      </w:r>
      <w:proofErr w:type="spellEnd"/>
      <w:r w:rsidRPr="00F03406">
        <w:rPr>
          <w:rFonts w:cs="Cutie Patootie"/>
          <w:sz w:val="28"/>
          <w:szCs w:val="28"/>
        </w:rPr>
        <w:t xml:space="preserve"> Mae, to expand the availability of mortgage funds for moderate-income families eligible for loans that are guaranteed by the government. HUD supervises programs to help state and local governments improve housing conditions in urban areas through rental assistance for low-income families and to guarantee loans to elderly and the disabled home buyers.</w:t>
      </w:r>
    </w:p>
    <w:p w:rsidR="00F03406" w:rsidRPr="00F03406" w:rsidRDefault="00F03406" w:rsidP="00230EB3">
      <w:pPr>
        <w:rPr>
          <w:rFonts w:cs="Cutie Patootie"/>
          <w:sz w:val="28"/>
          <w:szCs w:val="28"/>
        </w:rPr>
      </w:pPr>
    </w:p>
    <w:p w:rsidR="00230EB3" w:rsidRDefault="00230EB3" w:rsidP="00F03406">
      <w:pPr>
        <w:jc w:val="center"/>
      </w:pPr>
      <w:r>
        <w:rPr>
          <w:noProof/>
        </w:rPr>
        <w:drawing>
          <wp:inline distT="0" distB="0" distL="0" distR="0">
            <wp:extent cx="2156347" cy="215634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155900" cy="2155900"/>
                    </a:xfrm>
                    <a:prstGeom prst="rect">
                      <a:avLst/>
                    </a:prstGeom>
                    <a:noFill/>
                    <a:ln w="9525">
                      <a:noFill/>
                      <a:miter lim="800000"/>
                      <a:headEnd/>
                      <a:tailEnd/>
                    </a:ln>
                  </pic:spPr>
                </pic:pic>
              </a:graphicData>
            </a:graphic>
          </wp:inline>
        </w:drawing>
      </w:r>
    </w:p>
    <w:p w:rsidR="00230EB3" w:rsidRDefault="00230EB3" w:rsidP="00230EB3">
      <w:r>
        <w:rPr>
          <w:noProof/>
        </w:rPr>
        <w:drawing>
          <wp:anchor distT="0" distB="0" distL="114300" distR="114300" simplePos="0" relativeHeight="251667456" behindDoc="0" locked="0" layoutInCell="1" allowOverlap="1">
            <wp:simplePos x="483074" y="5636525"/>
            <wp:positionH relativeFrom="margin">
              <wp:align>center</wp:align>
            </wp:positionH>
            <wp:positionV relativeFrom="margin">
              <wp:align>bottom</wp:align>
            </wp:positionV>
            <wp:extent cx="6280501" cy="3179929"/>
            <wp:effectExtent l="19050" t="0" r="5999"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280501" cy="3179929"/>
                    </a:xfrm>
                    <a:prstGeom prst="rect">
                      <a:avLst/>
                    </a:prstGeom>
                    <a:noFill/>
                    <a:ln w="9525">
                      <a:noFill/>
                      <a:miter lim="800000"/>
                      <a:headEnd/>
                      <a:tailEnd/>
                    </a:ln>
                  </pic:spPr>
                </pic:pic>
              </a:graphicData>
            </a:graphic>
          </wp:anchor>
        </w:drawing>
      </w:r>
    </w:p>
    <w:p w:rsidR="00230EB3" w:rsidRPr="00F03406" w:rsidRDefault="00230EB3" w:rsidP="00F03406">
      <w:pPr>
        <w:pStyle w:val="Default"/>
        <w:jc w:val="center"/>
        <w:rPr>
          <w:rFonts w:ascii="Britannic Bold" w:hAnsi="Britannic Bold"/>
          <w:sz w:val="36"/>
          <w:szCs w:val="36"/>
        </w:rPr>
      </w:pPr>
      <w:r w:rsidRPr="00F03406">
        <w:rPr>
          <w:rFonts w:ascii="Britannic Bold" w:hAnsi="Britannic Bold"/>
          <w:sz w:val="36"/>
          <w:szCs w:val="36"/>
        </w:rPr>
        <w:lastRenderedPageBreak/>
        <w:t>Medicare &amp; Medicaid</w:t>
      </w:r>
    </w:p>
    <w:p w:rsidR="00230EB3" w:rsidRPr="00F03406" w:rsidRDefault="00230EB3" w:rsidP="00230EB3">
      <w:pPr>
        <w:pStyle w:val="Default"/>
        <w:rPr>
          <w:rFonts w:asciiTheme="minorHAnsi" w:hAnsiTheme="minorHAnsi" w:cs="Cutie Patootie"/>
          <w:sz w:val="28"/>
          <w:szCs w:val="28"/>
        </w:rPr>
      </w:pPr>
      <w:r w:rsidRPr="00F03406">
        <w:rPr>
          <w:rFonts w:asciiTheme="minorHAnsi" w:hAnsiTheme="minorHAnsi" w:cs="Cutie Patootie"/>
          <w:sz w:val="28"/>
          <w:szCs w:val="28"/>
        </w:rPr>
        <w:t xml:space="preserve">Medicare and Medicaid are </w:t>
      </w:r>
      <w:r w:rsidRPr="00F03406">
        <w:rPr>
          <w:rFonts w:asciiTheme="minorHAnsi" w:hAnsiTheme="minorHAnsi"/>
          <w:sz w:val="28"/>
          <w:szCs w:val="28"/>
        </w:rPr>
        <w:t xml:space="preserve">health insurance programs </w:t>
      </w:r>
      <w:r w:rsidRPr="00F03406">
        <w:rPr>
          <w:rFonts w:asciiTheme="minorHAnsi" w:hAnsiTheme="minorHAnsi" w:cs="Cutie Patootie"/>
          <w:sz w:val="28"/>
          <w:szCs w:val="28"/>
        </w:rPr>
        <w:t xml:space="preserve">sponsored by the federal government that cover medical expenses for certain Americans. Both programs took effect in 1965 and are administered under the Department of Health and Human Services. </w:t>
      </w:r>
      <w:r w:rsidRPr="00F03406">
        <w:rPr>
          <w:rFonts w:asciiTheme="minorHAnsi" w:hAnsiTheme="minorHAnsi"/>
          <w:sz w:val="28"/>
          <w:szCs w:val="28"/>
        </w:rPr>
        <w:t xml:space="preserve">Medicare </w:t>
      </w:r>
      <w:r w:rsidRPr="00F03406">
        <w:rPr>
          <w:rFonts w:asciiTheme="minorHAnsi" w:hAnsiTheme="minorHAnsi" w:cs="Cutie Patootie"/>
          <w:sz w:val="28"/>
          <w:szCs w:val="28"/>
        </w:rPr>
        <w:t xml:space="preserve">is the nation's largest health insurance program, providing coverage for 39 million elderly Americans who are age 65 or older or who have a disability. Medicare pays for home health visits, hospice care, doctors' services, medical tests, and other services and is paid mostly through Social Security taxes. </w:t>
      </w:r>
    </w:p>
    <w:p w:rsidR="00F03406" w:rsidRPr="00F03406" w:rsidRDefault="00F03406" w:rsidP="00230EB3">
      <w:pPr>
        <w:pStyle w:val="Default"/>
        <w:rPr>
          <w:rFonts w:asciiTheme="minorHAnsi" w:hAnsiTheme="minorHAnsi" w:cs="Cutie Patootie"/>
          <w:sz w:val="28"/>
          <w:szCs w:val="28"/>
        </w:rPr>
      </w:pPr>
    </w:p>
    <w:p w:rsidR="00230EB3" w:rsidRPr="00F03406" w:rsidRDefault="00230EB3" w:rsidP="00230EB3">
      <w:pPr>
        <w:rPr>
          <w:rFonts w:cs="Cutie Patootie"/>
          <w:sz w:val="28"/>
          <w:szCs w:val="28"/>
        </w:rPr>
      </w:pPr>
      <w:r w:rsidRPr="00F03406">
        <w:rPr>
          <w:sz w:val="28"/>
          <w:szCs w:val="28"/>
        </w:rPr>
        <w:t xml:space="preserve">Medicaid </w:t>
      </w:r>
      <w:r w:rsidRPr="00F03406">
        <w:rPr>
          <w:rFonts w:cs="Cutie Patootie"/>
          <w:sz w:val="28"/>
          <w:szCs w:val="28"/>
        </w:rPr>
        <w:t xml:space="preserve">was designed as a </w:t>
      </w:r>
      <w:proofErr w:type="spellStart"/>
      <w:r w:rsidRPr="00F03406">
        <w:rPr>
          <w:rFonts w:cs="Cutie Patootie"/>
          <w:sz w:val="28"/>
          <w:szCs w:val="28"/>
        </w:rPr>
        <w:t>heath</w:t>
      </w:r>
      <w:proofErr w:type="spellEnd"/>
      <w:r w:rsidRPr="00F03406">
        <w:rPr>
          <w:rFonts w:cs="Cutie Patootie"/>
          <w:sz w:val="28"/>
          <w:szCs w:val="28"/>
        </w:rPr>
        <w:t xml:space="preserve"> insurance program to covers poor Americans. Unlike Medicare which covers everyone over the age of 65, the Medicaid program has eligibility tests to see which applicants qualify as “poor.” Medicaid is a welfare program that pays for hospital care, doctors' services, nursing-home care, home health services, family planning, and screening. Medicaid is funded by both state and federal dollars, with the federal government spending an average of 57 percent and the states covering the rest. Each of the 50 states must offer Medicaid to all persons on public assistance (welfare) but can decide their own eligibility guidelines for receiving Medicaid.</w:t>
      </w:r>
    </w:p>
    <w:p w:rsidR="00230EB3" w:rsidRDefault="00230EB3" w:rsidP="00230EB3">
      <w:pPr>
        <w:rPr>
          <w:rFonts w:ascii="Cutie Patootie" w:hAnsi="Cutie Patootie" w:cs="Cutie Patootie"/>
          <w:sz w:val="28"/>
          <w:szCs w:val="28"/>
        </w:rPr>
      </w:pPr>
    </w:p>
    <w:p w:rsidR="00230EB3" w:rsidRDefault="00230EB3" w:rsidP="00F03406">
      <w:pPr>
        <w:jc w:val="center"/>
      </w:pPr>
      <w:r>
        <w:rPr>
          <w:noProof/>
        </w:rPr>
        <w:drawing>
          <wp:inline distT="0" distB="0" distL="0" distR="0">
            <wp:extent cx="5994145" cy="4285397"/>
            <wp:effectExtent l="19050" t="0" r="66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002543" cy="4291401"/>
                    </a:xfrm>
                    <a:prstGeom prst="rect">
                      <a:avLst/>
                    </a:prstGeom>
                    <a:noFill/>
                    <a:ln w="9525">
                      <a:noFill/>
                      <a:miter lim="800000"/>
                      <a:headEnd/>
                      <a:tailEnd/>
                    </a:ln>
                  </pic:spPr>
                </pic:pic>
              </a:graphicData>
            </a:graphic>
          </wp:inline>
        </w:drawing>
      </w:r>
    </w:p>
    <w:p w:rsidR="00230EB3" w:rsidRDefault="00230EB3" w:rsidP="00230EB3"/>
    <w:p w:rsidR="00230EB3" w:rsidRPr="00F03406" w:rsidRDefault="00230EB3" w:rsidP="00F03406">
      <w:pPr>
        <w:pStyle w:val="Default"/>
        <w:jc w:val="center"/>
        <w:rPr>
          <w:rFonts w:ascii="Britannic Bold" w:hAnsi="Britannic Bold"/>
          <w:sz w:val="36"/>
          <w:szCs w:val="36"/>
        </w:rPr>
      </w:pPr>
      <w:r w:rsidRPr="00F03406">
        <w:rPr>
          <w:rFonts w:ascii="Britannic Bold" w:hAnsi="Britannic Bold"/>
          <w:sz w:val="36"/>
          <w:szCs w:val="36"/>
        </w:rPr>
        <w:lastRenderedPageBreak/>
        <w:t>National Endowment for the Arts</w:t>
      </w:r>
    </w:p>
    <w:p w:rsidR="00230EB3" w:rsidRPr="00F03406" w:rsidRDefault="00230EB3" w:rsidP="00230EB3">
      <w:pPr>
        <w:rPr>
          <w:rFonts w:cs="Cutie Patootie"/>
          <w:sz w:val="28"/>
          <w:szCs w:val="28"/>
        </w:rPr>
      </w:pPr>
      <w:r w:rsidRPr="00F03406">
        <w:rPr>
          <w:rFonts w:cs="Cutie Patootie"/>
          <w:sz w:val="28"/>
          <w:szCs w:val="28"/>
        </w:rPr>
        <w:t xml:space="preserve">The National Endowment for the Arts was created in 1965 to support excellence in the arts and to bring the arts to all Americans. The Endowment is the nation’s largest annual funder of the arts, bringing great art to all 50 states, including rural areas, inner cities, military bases, and individual homes. In 1967 the Corporation for Public Broadcasting was formed and out of that came the </w:t>
      </w:r>
      <w:r w:rsidRPr="00F03406">
        <w:rPr>
          <w:sz w:val="28"/>
          <w:szCs w:val="28"/>
        </w:rPr>
        <w:t xml:space="preserve">Public Broadcasting Service </w:t>
      </w:r>
      <w:r w:rsidRPr="00F03406">
        <w:rPr>
          <w:rFonts w:cs="Cutie Patootie"/>
          <w:sz w:val="28"/>
          <w:szCs w:val="28"/>
        </w:rPr>
        <w:t xml:space="preserve">(PBS) and </w:t>
      </w:r>
      <w:r w:rsidRPr="00F03406">
        <w:rPr>
          <w:sz w:val="28"/>
          <w:szCs w:val="28"/>
        </w:rPr>
        <w:t xml:space="preserve">National Public Radio </w:t>
      </w:r>
      <w:r w:rsidRPr="00F03406">
        <w:rPr>
          <w:rFonts w:cs="Cutie Patootie"/>
          <w:sz w:val="28"/>
          <w:szCs w:val="28"/>
        </w:rPr>
        <w:t>(NPR). The purpose of these programs is to provide television and radio programming that is useful, educational, and cultural. Virtually every household in the United States has these programs available and include shows like Sesame Street, NOVA, and This Old House. These programs are meant to help parents and teachers educate children.</w:t>
      </w:r>
    </w:p>
    <w:p w:rsidR="00230EB3" w:rsidRDefault="00F03406" w:rsidP="00230EB3">
      <w:pPr>
        <w:rPr>
          <w:rFonts w:ascii="Cutie Patootie" w:hAnsi="Cutie Patootie" w:cs="Cutie Patootie"/>
          <w:sz w:val="28"/>
          <w:szCs w:val="28"/>
        </w:rPr>
      </w:pPr>
      <w:r>
        <w:rPr>
          <w:rFonts w:ascii="Cutie Patootie" w:hAnsi="Cutie Patootie" w:cs="Cutie Patootie"/>
          <w:noProof/>
          <w:sz w:val="28"/>
          <w:szCs w:val="28"/>
        </w:rPr>
        <w:drawing>
          <wp:anchor distT="0" distB="0" distL="114300" distR="114300" simplePos="0" relativeHeight="251668480" behindDoc="0" locked="0" layoutInCell="1" allowOverlap="1">
            <wp:simplePos x="0" y="0"/>
            <wp:positionH relativeFrom="column">
              <wp:posOffset>25874</wp:posOffset>
            </wp:positionH>
            <wp:positionV relativeFrom="paragraph">
              <wp:posOffset>41776</wp:posOffset>
            </wp:positionV>
            <wp:extent cx="3201822" cy="4156339"/>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201517" cy="4155943"/>
                    </a:xfrm>
                    <a:prstGeom prst="rect">
                      <a:avLst/>
                    </a:prstGeom>
                    <a:noFill/>
                    <a:ln w="9525">
                      <a:noFill/>
                      <a:miter lim="800000"/>
                      <a:headEnd/>
                      <a:tailEnd/>
                    </a:ln>
                  </pic:spPr>
                </pic:pic>
              </a:graphicData>
            </a:graphic>
          </wp:anchor>
        </w:drawing>
      </w:r>
    </w:p>
    <w:p w:rsidR="00230EB3" w:rsidRDefault="00230EB3" w:rsidP="00230EB3"/>
    <w:p w:rsidR="00230EB3" w:rsidRDefault="00230EB3" w:rsidP="00230EB3"/>
    <w:p w:rsidR="00230EB3" w:rsidRDefault="00230EB3" w:rsidP="00230EB3"/>
    <w:p w:rsidR="00230EB3" w:rsidRDefault="00F03406" w:rsidP="00230EB3">
      <w:r>
        <w:rPr>
          <w:noProof/>
        </w:rPr>
        <w:drawing>
          <wp:anchor distT="0" distB="0" distL="114300" distR="114300" simplePos="0" relativeHeight="251669504" behindDoc="0" locked="0" layoutInCell="1" allowOverlap="1">
            <wp:simplePos x="0" y="0"/>
            <wp:positionH relativeFrom="column">
              <wp:posOffset>3336290</wp:posOffset>
            </wp:positionH>
            <wp:positionV relativeFrom="paragraph">
              <wp:posOffset>128270</wp:posOffset>
            </wp:positionV>
            <wp:extent cx="3329305" cy="4654550"/>
            <wp:effectExtent l="1905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329305" cy="4654550"/>
                    </a:xfrm>
                    <a:prstGeom prst="rect">
                      <a:avLst/>
                    </a:prstGeom>
                    <a:noFill/>
                    <a:ln w="9525">
                      <a:noFill/>
                      <a:miter lim="800000"/>
                      <a:headEnd/>
                      <a:tailEnd/>
                    </a:ln>
                  </pic:spPr>
                </pic:pic>
              </a:graphicData>
            </a:graphic>
          </wp:anchor>
        </w:drawing>
      </w:r>
    </w:p>
    <w:p w:rsidR="00230EB3" w:rsidRDefault="00230EB3" w:rsidP="00230EB3"/>
    <w:p w:rsidR="00230EB3" w:rsidRDefault="00230EB3" w:rsidP="00230EB3"/>
    <w:p w:rsidR="00230EB3" w:rsidRDefault="00230EB3" w:rsidP="00230EB3"/>
    <w:p w:rsidR="00F03406" w:rsidRDefault="00F03406" w:rsidP="00230EB3"/>
    <w:p w:rsidR="00F03406" w:rsidRDefault="00F03406" w:rsidP="00230EB3"/>
    <w:p w:rsidR="00F03406" w:rsidRDefault="00F03406" w:rsidP="00230EB3"/>
    <w:p w:rsidR="00F03406" w:rsidRDefault="00F03406" w:rsidP="00230EB3"/>
    <w:p w:rsidR="00F03406" w:rsidRDefault="00F03406" w:rsidP="00230EB3"/>
    <w:p w:rsidR="00F03406" w:rsidRDefault="00F03406" w:rsidP="00230EB3"/>
    <w:p w:rsidR="00F03406" w:rsidRDefault="00F03406" w:rsidP="00230EB3"/>
    <w:p w:rsidR="00F03406" w:rsidRDefault="00F03406" w:rsidP="00230EB3"/>
    <w:p w:rsidR="00F03406" w:rsidRDefault="00F03406" w:rsidP="00230EB3"/>
    <w:p w:rsidR="00F03406" w:rsidRDefault="00F03406" w:rsidP="00230EB3"/>
    <w:p w:rsidR="00F03406" w:rsidRDefault="00F03406" w:rsidP="00230EB3"/>
    <w:p w:rsidR="00F03406" w:rsidRDefault="00F03406" w:rsidP="00230EB3"/>
    <w:p w:rsidR="00230EB3" w:rsidRPr="00F03406" w:rsidRDefault="00230EB3" w:rsidP="00F03406">
      <w:pPr>
        <w:pStyle w:val="Default"/>
        <w:jc w:val="center"/>
        <w:rPr>
          <w:rFonts w:ascii="Britannic Bold" w:hAnsi="Britannic Bold"/>
          <w:sz w:val="36"/>
          <w:szCs w:val="36"/>
        </w:rPr>
      </w:pPr>
      <w:r w:rsidRPr="00F03406">
        <w:rPr>
          <w:rFonts w:ascii="Britannic Bold" w:hAnsi="Britannic Bold"/>
          <w:sz w:val="36"/>
          <w:szCs w:val="36"/>
        </w:rPr>
        <w:lastRenderedPageBreak/>
        <w:t>Water Quality Act / Air Quality Act</w:t>
      </w:r>
    </w:p>
    <w:p w:rsidR="00230EB3" w:rsidRPr="00F03406" w:rsidRDefault="00230EB3" w:rsidP="00230EB3">
      <w:pPr>
        <w:rPr>
          <w:rFonts w:cs="Cutie Patootie"/>
          <w:sz w:val="26"/>
          <w:szCs w:val="26"/>
        </w:rPr>
      </w:pPr>
      <w:r w:rsidRPr="00F03406">
        <w:rPr>
          <w:rFonts w:cs="Cutie Patootie"/>
          <w:sz w:val="26"/>
          <w:szCs w:val="26"/>
        </w:rPr>
        <w:t xml:space="preserve">The biologist </w:t>
      </w:r>
      <w:r w:rsidRPr="00F03406">
        <w:rPr>
          <w:sz w:val="26"/>
          <w:szCs w:val="26"/>
        </w:rPr>
        <w:t xml:space="preserve">Rachel Carson </w:t>
      </w:r>
      <w:r w:rsidRPr="00F03406">
        <w:rPr>
          <w:rFonts w:cs="Cutie Patootie"/>
          <w:sz w:val="26"/>
          <w:szCs w:val="26"/>
        </w:rPr>
        <w:t>(1907</w:t>
      </w:r>
      <w:r w:rsidRPr="00F03406">
        <w:rPr>
          <w:rFonts w:cs="Times New Roman"/>
          <w:sz w:val="26"/>
          <w:szCs w:val="26"/>
        </w:rPr>
        <w:t>–</w:t>
      </w:r>
      <w:r w:rsidRPr="00F03406">
        <w:rPr>
          <w:rFonts w:cs="Cutie Patootie"/>
          <w:sz w:val="26"/>
          <w:szCs w:val="26"/>
        </w:rPr>
        <w:t xml:space="preserve">1964) published the book Silent Spring in 1962. Her book exposed the dangers of using pesticides, specifically DDT, on the environment and the ecosystem. She had become concerned during the 1950s at the rapid increase in artificial pesticide and herbicide spraying by farmers and government agencies. Reaction to her book led the government to organize an investigation of the industry. Under Lyndon Johnson, Congress passed new environmental laws. The </w:t>
      </w:r>
      <w:r w:rsidRPr="00F03406">
        <w:rPr>
          <w:sz w:val="26"/>
          <w:szCs w:val="26"/>
        </w:rPr>
        <w:t xml:space="preserve">Water Quality Act </w:t>
      </w:r>
      <w:r w:rsidRPr="00F03406">
        <w:rPr>
          <w:rFonts w:cs="Cutie Patootie"/>
          <w:sz w:val="26"/>
          <w:szCs w:val="26"/>
        </w:rPr>
        <w:t xml:space="preserve">of 1965 created the first water quality standards for the nation's waters. Under the </w:t>
      </w:r>
      <w:r w:rsidRPr="00F03406">
        <w:rPr>
          <w:sz w:val="26"/>
          <w:szCs w:val="26"/>
        </w:rPr>
        <w:t xml:space="preserve">Air Quality Act </w:t>
      </w:r>
      <w:r w:rsidRPr="00F03406">
        <w:rPr>
          <w:rFonts w:cs="Cutie Patootie"/>
          <w:sz w:val="26"/>
          <w:szCs w:val="26"/>
        </w:rPr>
        <w:t xml:space="preserve">of 1967, the government authorized enforcement for air pollution problems and expanded government research into air pollution. Eventually, the government created the </w:t>
      </w:r>
      <w:r w:rsidRPr="00F03406">
        <w:rPr>
          <w:sz w:val="26"/>
          <w:szCs w:val="26"/>
        </w:rPr>
        <w:t xml:space="preserve">Environmental Protection Agency </w:t>
      </w:r>
      <w:r w:rsidRPr="00F03406">
        <w:rPr>
          <w:rFonts w:cs="Cutie Patootie"/>
          <w:sz w:val="26"/>
          <w:szCs w:val="26"/>
        </w:rPr>
        <w:t>(EPA) in 1970 and launched the modern environmental movement.</w:t>
      </w:r>
    </w:p>
    <w:p w:rsidR="00230EB3" w:rsidRDefault="00F03406" w:rsidP="00230EB3">
      <w:pPr>
        <w:rPr>
          <w:rFonts w:ascii="Cutie Patootie" w:hAnsi="Cutie Patootie" w:cs="Cutie Patootie"/>
          <w:sz w:val="28"/>
          <w:szCs w:val="28"/>
        </w:rPr>
      </w:pPr>
      <w:r>
        <w:rPr>
          <w:rFonts w:ascii="Cutie Patootie" w:hAnsi="Cutie Patootie" w:cs="Cutie Patootie"/>
          <w:noProof/>
          <w:sz w:val="28"/>
          <w:szCs w:val="28"/>
        </w:rPr>
        <w:drawing>
          <wp:anchor distT="0" distB="0" distL="114300" distR="114300" simplePos="0" relativeHeight="251670528" behindDoc="0" locked="0" layoutInCell="1" allowOverlap="1">
            <wp:simplePos x="0" y="0"/>
            <wp:positionH relativeFrom="column">
              <wp:posOffset>25874</wp:posOffset>
            </wp:positionH>
            <wp:positionV relativeFrom="paragraph">
              <wp:posOffset>283683</wp:posOffset>
            </wp:positionV>
            <wp:extent cx="3201822" cy="3439236"/>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201822" cy="3439236"/>
                    </a:xfrm>
                    <a:prstGeom prst="rect">
                      <a:avLst/>
                    </a:prstGeom>
                    <a:noFill/>
                    <a:ln w="9525">
                      <a:noFill/>
                      <a:miter lim="800000"/>
                      <a:headEnd/>
                      <a:tailEnd/>
                    </a:ln>
                  </pic:spPr>
                </pic:pic>
              </a:graphicData>
            </a:graphic>
          </wp:anchor>
        </w:drawing>
      </w:r>
    </w:p>
    <w:p w:rsidR="00230EB3" w:rsidRDefault="00230EB3" w:rsidP="00230EB3"/>
    <w:p w:rsidR="00230EB3" w:rsidRDefault="00F03406" w:rsidP="00230EB3">
      <w:r>
        <w:rPr>
          <w:noProof/>
        </w:rPr>
        <w:drawing>
          <wp:anchor distT="0" distB="0" distL="114300" distR="114300" simplePos="0" relativeHeight="251671552" behindDoc="0" locked="0" layoutInCell="1" allowOverlap="1">
            <wp:simplePos x="0" y="0"/>
            <wp:positionH relativeFrom="column">
              <wp:posOffset>2981960</wp:posOffset>
            </wp:positionH>
            <wp:positionV relativeFrom="paragraph">
              <wp:posOffset>222885</wp:posOffset>
            </wp:positionV>
            <wp:extent cx="3698240" cy="536638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698240" cy="5366385"/>
                    </a:xfrm>
                    <a:prstGeom prst="rect">
                      <a:avLst/>
                    </a:prstGeom>
                    <a:noFill/>
                    <a:ln w="9525">
                      <a:noFill/>
                      <a:miter lim="800000"/>
                      <a:headEnd/>
                      <a:tailEnd/>
                    </a:ln>
                  </pic:spPr>
                </pic:pic>
              </a:graphicData>
            </a:graphic>
          </wp:anchor>
        </w:drawing>
      </w:r>
    </w:p>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p w:rsidR="00230EB3" w:rsidRDefault="00230EB3" w:rsidP="00230EB3"/>
    <w:sectPr w:rsidR="00230EB3" w:rsidSect="00230EB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Miserably Lose">
    <w:altName w:val="Miserably Los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ritannic Bold">
    <w:panose1 w:val="020B0903060703020204"/>
    <w:charset w:val="00"/>
    <w:family w:val="swiss"/>
    <w:pitch w:val="variable"/>
    <w:sig w:usb0="00000003" w:usb1="00000000" w:usb2="00000000" w:usb3="00000000" w:csb0="00000001" w:csb1="00000000"/>
  </w:font>
  <w:font w:name="Cutie Patootie">
    <w:altName w:val="Cutie Patooti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compat/>
  <w:rsids>
    <w:rsidRoot w:val="00230EB3"/>
    <w:rsid w:val="00230EB3"/>
    <w:rsid w:val="007A3865"/>
    <w:rsid w:val="00F034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8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30EB3"/>
    <w:pPr>
      <w:autoSpaceDE w:val="0"/>
      <w:autoSpaceDN w:val="0"/>
      <w:adjustRightInd w:val="0"/>
      <w:spacing w:after="0" w:line="240" w:lineRule="auto"/>
    </w:pPr>
    <w:rPr>
      <w:rFonts w:ascii="Miserably Lose" w:hAnsi="Miserably Lose" w:cs="Miserably Lose"/>
      <w:color w:val="000000"/>
      <w:sz w:val="24"/>
      <w:szCs w:val="24"/>
    </w:rPr>
  </w:style>
  <w:style w:type="paragraph" w:styleId="BalloonText">
    <w:name w:val="Balloon Text"/>
    <w:basedOn w:val="Normal"/>
    <w:link w:val="BalloonTextChar"/>
    <w:uiPriority w:val="99"/>
    <w:semiHidden/>
    <w:unhideWhenUsed/>
    <w:rsid w:val="00230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E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10160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Burgess</dc:creator>
  <cp:keywords/>
  <dc:description/>
  <cp:lastModifiedBy>Anna Burgess</cp:lastModifiedBy>
  <cp:revision>1</cp:revision>
  <dcterms:created xsi:type="dcterms:W3CDTF">2015-05-04T17:04:00Z</dcterms:created>
  <dcterms:modified xsi:type="dcterms:W3CDTF">2015-05-04T17:33:00Z</dcterms:modified>
</cp:coreProperties>
</file>